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B0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江苏财经职业技术学院</w:t>
      </w:r>
    </w:p>
    <w:p w14:paraId="288B6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数字营销与新媒体运营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微专业</w:t>
      </w:r>
    </w:p>
    <w:p w14:paraId="3DED1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招生简章</w:t>
      </w:r>
    </w:p>
    <w:p w14:paraId="46C0C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一、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数字营销与新媒体运营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微专业介绍</w:t>
      </w:r>
    </w:p>
    <w:p w14:paraId="6E56B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Hans"/>
        </w:rPr>
        <w:t>数字营销与新媒体运营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微专业聚焦数字经济时代营销人才需求，构建“理论+工具+实战”一体化培养体系，涵盖数字营销基础、新媒体运营实战、商务文案策划、数据分析应用及项目全案策划五大核心模块，全方位覆盖行业必备技能。</w:t>
      </w:r>
    </w:p>
    <w:p w14:paraId="2750F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专业课程以实战为导向，融合经典营销模型与前沿平台玩法，兼顾直播运营、内容创作、数据驱动决策等核心能力，强化合规意识与商业思维培养。通过案例解析、项目实操与路演答辩，助力学习者快速掌握新媒体全场景运营、营销文案撰写、数据复盘优化及全案策划能力，适配互联网、电商、品牌营销等多领域岗位需求，为职业发展筑牢核心竞争力，</w:t>
      </w:r>
      <w:r>
        <w:rPr>
          <w:rFonts w:hint="default" w:ascii="仿宋" w:hAnsi="仿宋" w:eastAsia="仿宋" w:cs="仿宋"/>
          <w:sz w:val="24"/>
          <w:szCs w:val="32"/>
          <w:lang w:val="en-US" w:eastAsia="zh-CN"/>
        </w:rPr>
        <w:t>成为行业急需的复合型人才，为企业数字化营销转型提供专业人才支持。</w:t>
      </w:r>
    </w:p>
    <w:p w14:paraId="5DCD8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</w:p>
    <w:p w14:paraId="04B19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二、主办单位与参与单位</w:t>
      </w:r>
    </w:p>
    <w:p w14:paraId="60148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主办单位：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江苏财经职业技术学院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经济管理</w:t>
      </w:r>
      <w:r>
        <w:rPr>
          <w:rFonts w:hint="eastAsia" w:ascii="仿宋" w:hAnsi="仿宋" w:eastAsia="仿宋" w:cs="仿宋"/>
          <w:sz w:val="24"/>
          <w:szCs w:val="32"/>
        </w:rPr>
        <w:t>学院</w:t>
      </w:r>
    </w:p>
    <w:p w14:paraId="4F331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参与单位：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江苏圆绿捆蹄有限</w:t>
      </w:r>
      <w:r>
        <w:rPr>
          <w:rFonts w:hint="eastAsia" w:ascii="仿宋" w:hAnsi="仿宋" w:eastAsia="仿宋" w:cs="仿宋"/>
          <w:sz w:val="24"/>
          <w:szCs w:val="32"/>
        </w:rPr>
        <w:t>公司等</w:t>
      </w:r>
    </w:p>
    <w:p w14:paraId="24D6D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三、招生对象和计划</w:t>
      </w:r>
    </w:p>
    <w:p w14:paraId="5AAA7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招生对象： 202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32"/>
        </w:rPr>
        <w:t>级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在校生</w:t>
      </w:r>
      <w:r>
        <w:rPr>
          <w:rFonts w:hint="eastAsia" w:ascii="仿宋" w:hAnsi="仿宋" w:eastAsia="仿宋" w:cs="仿宋"/>
          <w:sz w:val="24"/>
          <w:szCs w:val="32"/>
        </w:rPr>
        <w:t>，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不限专业，</w:t>
      </w:r>
      <w:r>
        <w:rPr>
          <w:rFonts w:hint="eastAsia" w:ascii="仿宋" w:hAnsi="仿宋" w:eastAsia="仿宋" w:cs="仿宋"/>
          <w:sz w:val="24"/>
          <w:szCs w:val="32"/>
        </w:rPr>
        <w:t>对所有符合报名条件者择优录取。</w:t>
      </w:r>
    </w:p>
    <w:p w14:paraId="26E53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/>
        </w:rPr>
      </w:pPr>
      <w:r>
        <w:rPr>
          <w:rFonts w:hint="eastAsia" w:ascii="仿宋" w:hAnsi="仿宋" w:eastAsia="仿宋" w:cs="仿宋"/>
          <w:sz w:val="24"/>
          <w:szCs w:val="32"/>
        </w:rPr>
        <w:t>年度招生计划：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30人</w:t>
      </w:r>
    </w:p>
    <w:p w14:paraId="65093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四、课程设置</w:t>
      </w:r>
    </w:p>
    <w:tbl>
      <w:tblPr>
        <w:tblStyle w:val="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3096"/>
        <w:gridCol w:w="791"/>
        <w:gridCol w:w="695"/>
        <w:gridCol w:w="1001"/>
        <w:gridCol w:w="1103"/>
        <w:gridCol w:w="1343"/>
      </w:tblGrid>
      <w:tr w14:paraId="79F5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noWrap w:val="0"/>
            <w:vAlign w:val="center"/>
          </w:tcPr>
          <w:p w14:paraId="7AB32E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3096" w:type="dxa"/>
            <w:noWrap w:val="0"/>
            <w:vAlign w:val="center"/>
          </w:tcPr>
          <w:p w14:paraId="7CA6E3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课程名称</w:t>
            </w:r>
          </w:p>
        </w:tc>
        <w:tc>
          <w:tcPr>
            <w:tcW w:w="791" w:type="dxa"/>
            <w:noWrap w:val="0"/>
            <w:vAlign w:val="center"/>
          </w:tcPr>
          <w:p w14:paraId="15E794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学分</w:t>
            </w:r>
          </w:p>
        </w:tc>
        <w:tc>
          <w:tcPr>
            <w:tcW w:w="695" w:type="dxa"/>
            <w:noWrap w:val="0"/>
            <w:vAlign w:val="center"/>
          </w:tcPr>
          <w:p w14:paraId="075B97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学时</w:t>
            </w:r>
          </w:p>
        </w:tc>
        <w:tc>
          <w:tcPr>
            <w:tcW w:w="1001" w:type="dxa"/>
            <w:noWrap w:val="0"/>
            <w:vAlign w:val="center"/>
          </w:tcPr>
          <w:p w14:paraId="1A96FC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考核方式</w:t>
            </w:r>
          </w:p>
        </w:tc>
        <w:tc>
          <w:tcPr>
            <w:tcW w:w="1103" w:type="dxa"/>
            <w:noWrap w:val="0"/>
            <w:vAlign w:val="center"/>
          </w:tcPr>
          <w:p w14:paraId="42072D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课程类别</w:t>
            </w:r>
          </w:p>
        </w:tc>
        <w:tc>
          <w:tcPr>
            <w:tcW w:w="1343" w:type="dxa"/>
            <w:noWrap w:val="0"/>
            <w:vAlign w:val="center"/>
          </w:tcPr>
          <w:p w14:paraId="21613A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Style w:val="5"/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开课时间</w:t>
            </w:r>
          </w:p>
        </w:tc>
      </w:tr>
      <w:tr w14:paraId="7C05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noWrap w:val="0"/>
            <w:vAlign w:val="top"/>
          </w:tcPr>
          <w:p w14:paraId="4744F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096" w:type="dxa"/>
            <w:noWrap w:val="0"/>
            <w:vAlign w:val="top"/>
          </w:tcPr>
          <w:p w14:paraId="0A45B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数字营销基础</w:t>
            </w:r>
          </w:p>
        </w:tc>
        <w:tc>
          <w:tcPr>
            <w:tcW w:w="791" w:type="dxa"/>
            <w:noWrap w:val="0"/>
            <w:vAlign w:val="top"/>
          </w:tcPr>
          <w:p w14:paraId="364A2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95" w:type="dxa"/>
            <w:noWrap w:val="0"/>
            <w:vAlign w:val="center"/>
          </w:tcPr>
          <w:p w14:paraId="2AC6B264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default" w:ascii="仿宋" w:hAnsi="仿宋" w:eastAsia="仿宋"/>
                <w:bCs/>
                <w:sz w:val="24"/>
                <w:szCs w:val="24"/>
              </w:rPr>
              <w:t>48</w:t>
            </w:r>
          </w:p>
        </w:tc>
        <w:tc>
          <w:tcPr>
            <w:tcW w:w="1001" w:type="dxa"/>
            <w:noWrap w:val="0"/>
            <w:vAlign w:val="top"/>
          </w:tcPr>
          <w:p w14:paraId="0ABA9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考试</w:t>
            </w:r>
          </w:p>
        </w:tc>
        <w:tc>
          <w:tcPr>
            <w:tcW w:w="1103" w:type="dxa"/>
            <w:noWrap w:val="0"/>
            <w:vAlign w:val="top"/>
          </w:tcPr>
          <w:p w14:paraId="26BF1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必修</w:t>
            </w:r>
          </w:p>
        </w:tc>
        <w:tc>
          <w:tcPr>
            <w:tcW w:w="1343" w:type="dxa"/>
            <w:noWrap w:val="0"/>
            <w:vAlign w:val="center"/>
          </w:tcPr>
          <w:p w14:paraId="5C091C45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Hans"/>
              </w:rPr>
              <w:t>第一学期</w:t>
            </w:r>
          </w:p>
        </w:tc>
      </w:tr>
      <w:tr w14:paraId="12FCE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noWrap w:val="0"/>
            <w:vAlign w:val="top"/>
          </w:tcPr>
          <w:p w14:paraId="5959E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096" w:type="dxa"/>
            <w:noWrap w:val="0"/>
            <w:vAlign w:val="top"/>
          </w:tcPr>
          <w:p w14:paraId="5C0A1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新媒体运营实战</w:t>
            </w:r>
          </w:p>
        </w:tc>
        <w:tc>
          <w:tcPr>
            <w:tcW w:w="791" w:type="dxa"/>
            <w:noWrap w:val="0"/>
            <w:vAlign w:val="top"/>
          </w:tcPr>
          <w:p w14:paraId="1C905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95" w:type="dxa"/>
            <w:noWrap w:val="0"/>
            <w:vAlign w:val="center"/>
          </w:tcPr>
          <w:p w14:paraId="3FDC4D9D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default" w:ascii="仿宋" w:hAnsi="仿宋" w:eastAsia="仿宋"/>
                <w:bCs/>
                <w:sz w:val="24"/>
                <w:szCs w:val="24"/>
              </w:rPr>
              <w:t>48</w:t>
            </w:r>
          </w:p>
        </w:tc>
        <w:tc>
          <w:tcPr>
            <w:tcW w:w="1001" w:type="dxa"/>
            <w:noWrap w:val="0"/>
            <w:vAlign w:val="top"/>
          </w:tcPr>
          <w:p w14:paraId="347D9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考试</w:t>
            </w:r>
          </w:p>
        </w:tc>
        <w:tc>
          <w:tcPr>
            <w:tcW w:w="1103" w:type="dxa"/>
            <w:noWrap w:val="0"/>
            <w:vAlign w:val="top"/>
          </w:tcPr>
          <w:p w14:paraId="00D4E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必修</w:t>
            </w:r>
          </w:p>
        </w:tc>
        <w:tc>
          <w:tcPr>
            <w:tcW w:w="1343" w:type="dxa"/>
            <w:noWrap w:val="0"/>
            <w:vAlign w:val="center"/>
          </w:tcPr>
          <w:p w14:paraId="59906C7A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Hans"/>
              </w:rPr>
              <w:t>第一学期</w:t>
            </w:r>
          </w:p>
        </w:tc>
      </w:tr>
      <w:tr w14:paraId="53615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noWrap w:val="0"/>
            <w:vAlign w:val="top"/>
          </w:tcPr>
          <w:p w14:paraId="19ED5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096" w:type="dxa"/>
            <w:noWrap w:val="0"/>
            <w:vAlign w:val="top"/>
          </w:tcPr>
          <w:p w14:paraId="4B26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商务文案策划与撰写</w:t>
            </w:r>
          </w:p>
        </w:tc>
        <w:tc>
          <w:tcPr>
            <w:tcW w:w="791" w:type="dxa"/>
            <w:noWrap w:val="0"/>
            <w:vAlign w:val="top"/>
          </w:tcPr>
          <w:p w14:paraId="4A363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95" w:type="dxa"/>
            <w:noWrap w:val="0"/>
            <w:vAlign w:val="center"/>
          </w:tcPr>
          <w:p w14:paraId="30E367F0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default" w:ascii="仿宋" w:hAnsi="仿宋" w:eastAsia="仿宋"/>
                <w:bCs/>
                <w:sz w:val="24"/>
                <w:szCs w:val="24"/>
              </w:rPr>
              <w:t>48</w:t>
            </w:r>
          </w:p>
        </w:tc>
        <w:tc>
          <w:tcPr>
            <w:tcW w:w="1001" w:type="dxa"/>
            <w:noWrap w:val="0"/>
            <w:vAlign w:val="top"/>
          </w:tcPr>
          <w:p w14:paraId="13834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考查</w:t>
            </w:r>
          </w:p>
        </w:tc>
        <w:tc>
          <w:tcPr>
            <w:tcW w:w="1103" w:type="dxa"/>
            <w:noWrap w:val="0"/>
            <w:vAlign w:val="top"/>
          </w:tcPr>
          <w:p w14:paraId="0207D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必修</w:t>
            </w:r>
          </w:p>
        </w:tc>
        <w:tc>
          <w:tcPr>
            <w:tcW w:w="1343" w:type="dxa"/>
            <w:noWrap w:val="0"/>
            <w:vAlign w:val="center"/>
          </w:tcPr>
          <w:p w14:paraId="04E160BC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Hans"/>
              </w:rPr>
              <w:t>第二学期</w:t>
            </w:r>
          </w:p>
        </w:tc>
      </w:tr>
      <w:tr w14:paraId="52F24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noWrap w:val="0"/>
            <w:vAlign w:val="top"/>
          </w:tcPr>
          <w:p w14:paraId="3737A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096" w:type="dxa"/>
            <w:noWrap w:val="0"/>
            <w:vAlign w:val="top"/>
          </w:tcPr>
          <w:p w14:paraId="6BA77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商务数据分析与应用</w:t>
            </w:r>
          </w:p>
        </w:tc>
        <w:tc>
          <w:tcPr>
            <w:tcW w:w="791" w:type="dxa"/>
            <w:noWrap w:val="0"/>
            <w:vAlign w:val="top"/>
          </w:tcPr>
          <w:p w14:paraId="71790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95" w:type="dxa"/>
            <w:noWrap w:val="0"/>
            <w:vAlign w:val="center"/>
          </w:tcPr>
          <w:p w14:paraId="0B7D15A7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default" w:ascii="仿宋" w:hAnsi="仿宋" w:eastAsia="仿宋"/>
                <w:bCs/>
                <w:sz w:val="24"/>
                <w:szCs w:val="24"/>
              </w:rPr>
              <w:t>48</w:t>
            </w:r>
          </w:p>
        </w:tc>
        <w:tc>
          <w:tcPr>
            <w:tcW w:w="1001" w:type="dxa"/>
            <w:noWrap w:val="0"/>
            <w:vAlign w:val="top"/>
          </w:tcPr>
          <w:p w14:paraId="70361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考查</w:t>
            </w:r>
          </w:p>
        </w:tc>
        <w:tc>
          <w:tcPr>
            <w:tcW w:w="1103" w:type="dxa"/>
            <w:noWrap w:val="0"/>
            <w:vAlign w:val="top"/>
          </w:tcPr>
          <w:p w14:paraId="2310D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必修</w:t>
            </w:r>
          </w:p>
        </w:tc>
        <w:tc>
          <w:tcPr>
            <w:tcW w:w="1343" w:type="dxa"/>
            <w:noWrap w:val="0"/>
            <w:vAlign w:val="center"/>
          </w:tcPr>
          <w:p w14:paraId="34FEF4CD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Hans"/>
              </w:rPr>
              <w:t>第二学期</w:t>
            </w:r>
          </w:p>
        </w:tc>
      </w:tr>
      <w:tr w14:paraId="50BB8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noWrap w:val="0"/>
            <w:vAlign w:val="top"/>
          </w:tcPr>
          <w:p w14:paraId="0D43B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3096" w:type="dxa"/>
            <w:noWrap w:val="0"/>
            <w:vAlign w:val="top"/>
          </w:tcPr>
          <w:p w14:paraId="497C6DA4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数字营销项目策划</w:t>
            </w:r>
          </w:p>
        </w:tc>
        <w:tc>
          <w:tcPr>
            <w:tcW w:w="791" w:type="dxa"/>
            <w:noWrap w:val="0"/>
            <w:vAlign w:val="top"/>
          </w:tcPr>
          <w:p w14:paraId="7BFA9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95" w:type="dxa"/>
            <w:noWrap w:val="0"/>
            <w:vAlign w:val="center"/>
          </w:tcPr>
          <w:p w14:paraId="6FE45FD8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default" w:ascii="仿宋" w:hAnsi="仿宋" w:eastAsia="仿宋"/>
                <w:bCs/>
                <w:sz w:val="24"/>
                <w:szCs w:val="24"/>
              </w:rPr>
              <w:t>48</w:t>
            </w:r>
          </w:p>
        </w:tc>
        <w:tc>
          <w:tcPr>
            <w:tcW w:w="1001" w:type="dxa"/>
            <w:noWrap w:val="0"/>
            <w:vAlign w:val="top"/>
          </w:tcPr>
          <w:p w14:paraId="20FF0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考试</w:t>
            </w:r>
          </w:p>
        </w:tc>
        <w:tc>
          <w:tcPr>
            <w:tcW w:w="1103" w:type="dxa"/>
            <w:noWrap w:val="0"/>
            <w:vAlign w:val="top"/>
          </w:tcPr>
          <w:p w14:paraId="35DB4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必修</w:t>
            </w:r>
          </w:p>
        </w:tc>
        <w:tc>
          <w:tcPr>
            <w:tcW w:w="1343" w:type="dxa"/>
            <w:noWrap w:val="0"/>
            <w:vAlign w:val="center"/>
          </w:tcPr>
          <w:p w14:paraId="5707CC0F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Hans"/>
              </w:rPr>
              <w:t>第二学期</w:t>
            </w:r>
          </w:p>
        </w:tc>
      </w:tr>
      <w:tr w14:paraId="77E91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9" w:type="dxa"/>
            <w:gridSpan w:val="2"/>
            <w:noWrap w:val="0"/>
            <w:vAlign w:val="top"/>
          </w:tcPr>
          <w:p w14:paraId="23BEF856">
            <w:pPr>
              <w:spacing w:line="420" w:lineRule="exact"/>
              <w:jc w:val="center"/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91" w:type="dxa"/>
            <w:noWrap w:val="0"/>
            <w:vAlign w:val="top"/>
          </w:tcPr>
          <w:p w14:paraId="74F4D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695" w:type="dxa"/>
            <w:noWrap w:val="0"/>
            <w:vAlign w:val="top"/>
          </w:tcPr>
          <w:p w14:paraId="385DE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  <w:t>240</w:t>
            </w:r>
          </w:p>
        </w:tc>
        <w:tc>
          <w:tcPr>
            <w:tcW w:w="1001" w:type="dxa"/>
            <w:noWrap w:val="0"/>
            <w:vAlign w:val="top"/>
          </w:tcPr>
          <w:p w14:paraId="76401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103" w:type="dxa"/>
            <w:noWrap w:val="0"/>
            <w:vAlign w:val="top"/>
          </w:tcPr>
          <w:p w14:paraId="1DBD0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343" w:type="dxa"/>
            <w:noWrap w:val="0"/>
            <w:vAlign w:val="top"/>
          </w:tcPr>
          <w:p w14:paraId="6CDE5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</w:tbl>
    <w:p w14:paraId="4BBB3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</w:p>
    <w:p w14:paraId="356A9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1.《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数字营销基础</w:t>
      </w:r>
      <w:r>
        <w:rPr>
          <w:rFonts w:hint="eastAsia" w:ascii="仿宋" w:hAnsi="仿宋" w:eastAsia="仿宋" w:cs="仿宋"/>
          <w:sz w:val="24"/>
          <w:szCs w:val="32"/>
        </w:rPr>
        <w:t>》课程简介</w:t>
      </w:r>
    </w:p>
    <w:p w14:paraId="596D7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本课程系统搭建数字营销知识体系，助力学习者掌握行业核心逻辑与实操方法。主要涵盖数字营销的概念、发展历程及与传统营销的差异，互联网营销的职能、传播特点与策略，新媒体平台运营模式、内容创作及传播技巧，网络营销相关法律法规，以及数据分析在营销中的应用全流程。</w:t>
      </w:r>
    </w:p>
    <w:p w14:paraId="4B7CE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知识目标：掌握数字营销核心概念与理论框架，明晰行业发展脉络及合规要求。</w:t>
      </w:r>
    </w:p>
    <w:p w14:paraId="58C96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能力目标：能精准区分营销模式差异，具备新媒体内容策划与传播的基础能力。</w:t>
      </w:r>
    </w:p>
    <w:p w14:paraId="34E33B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技能目标：学会数据收集、整理与分析方法，能运用基础策略开展营销实践，规避网络营销法律风险。课程兼顾理论与实操，为从事数字营销相关工作奠定基础。</w:t>
      </w:r>
    </w:p>
    <w:p w14:paraId="231C9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2.《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新媒体运营实战</w:t>
      </w:r>
      <w:r>
        <w:rPr>
          <w:rFonts w:hint="eastAsia" w:ascii="仿宋" w:hAnsi="仿宋" w:eastAsia="仿宋" w:cs="仿宋"/>
          <w:sz w:val="24"/>
          <w:szCs w:val="32"/>
        </w:rPr>
        <w:t>》课程简介</w:t>
      </w:r>
    </w:p>
    <w:p w14:paraId="3BB83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本课程聚焦直播销售全流程实战，以案例分析与项目实践为核心，系统讲授新媒体直播运营核心能力。内容涵盖直播前宣传推广、设备调试与产品筹备，直播中产品介绍、互动引导及优惠促销技巧，直播互动管理与后台操作，直播后数据采集、分析及方案优化，以及直播全流程风险防控与应对策略。</w:t>
      </w:r>
    </w:p>
    <w:p w14:paraId="202DA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知识目标：掌握直播运营全流程逻辑与风险合规要点。</w:t>
      </w:r>
    </w:p>
    <w:p w14:paraId="34E00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能力目标：具备直播策划、互动引导及数据驱动优化的综合能力。</w:t>
      </w:r>
    </w:p>
    <w:p w14:paraId="7AC64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技能目标：熟练操作直播后台功能，能独立完成直播筹备、执行与复盘，精准规避各类直播风险。课程强化实操落地，助力快速掌握直播运营核心技能。</w:t>
      </w:r>
    </w:p>
    <w:p w14:paraId="118DE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3.《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商务文案策划与撰写</w:t>
      </w:r>
      <w:r>
        <w:rPr>
          <w:rFonts w:hint="eastAsia" w:ascii="仿宋" w:hAnsi="仿宋" w:eastAsia="仿宋" w:cs="仿宋"/>
          <w:sz w:val="24"/>
          <w:szCs w:val="32"/>
        </w:rPr>
        <w:t>》课程简介</w:t>
      </w:r>
    </w:p>
    <w:p w14:paraId="2BF63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本课程聚焦数字营销场景下商务文案实战能力培养，涵盖五大核心模块：文案认知与写作方法、受众洞察与卖点提炼、新媒体多场景文案写作、品牌故事与长文案策划、文案效果评估与优化，以理论+实操模式构建完整知识体系。</w:t>
      </w:r>
    </w:p>
    <w:p w14:paraId="0EEA1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知识目标：掌握经典写作模型、受众洞察工具及品牌叙事框架，明晰各场景文案逻辑。</w:t>
      </w:r>
    </w:p>
    <w:p w14:paraId="717FE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能力目标：具备受众分析、卖点提炼及文案优化的综合思维。</w:t>
      </w:r>
    </w:p>
    <w:p w14:paraId="645D4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技能目标：能批量产出高转化短文案、撰写品牌长文案，且可通过评估优化迭代文案。助力快速掌握专业文案技能，适配数字营销多元需求。</w:t>
      </w:r>
    </w:p>
    <w:p w14:paraId="1DB7B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</w:p>
    <w:p w14:paraId="7A9E1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4.《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商务数据分析与应用</w:t>
      </w:r>
      <w:r>
        <w:rPr>
          <w:rFonts w:hint="eastAsia" w:ascii="仿宋" w:hAnsi="仿宋" w:eastAsia="仿宋" w:cs="仿宋"/>
          <w:sz w:val="24"/>
          <w:szCs w:val="32"/>
        </w:rPr>
        <w:t>》课程简介</w:t>
      </w:r>
    </w:p>
    <w:p w14:paraId="1EFD4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本课程以营销实战为导向，构建“工具-方法-实战”完整体系，涵盖数据分析思维与工具基础、数据采集与清洗、描述性统计分析、预测分析与可视化、营销场景案例实战五大模块，助力零基础学习者掌握数据驱动营销的核心能力。</w:t>
      </w:r>
    </w:p>
    <w:p w14:paraId="26FBE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知识目标：掌握Python Pandas、BI工具用法及统计模型、可视化方法，明晰营销数据指标逻辑。</w:t>
      </w:r>
    </w:p>
    <w:p w14:paraId="13247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能力目标：具备数据转化、问题拆解及用数据指导决策的综合思维。</w:t>
      </w:r>
    </w:p>
    <w:p w14:paraId="3846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技能目标：能独立完成数据采集清洗、统计分析、预测建模，产出可落地的营销数据分析报告。课程重实操强落地，适配数字营销场景需求。</w:t>
      </w:r>
    </w:p>
    <w:p w14:paraId="37DE1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32"/>
        </w:rPr>
        <w:t>.《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数字营销项目策划</w:t>
      </w:r>
      <w:r>
        <w:rPr>
          <w:rFonts w:hint="eastAsia" w:ascii="仿宋" w:hAnsi="仿宋" w:eastAsia="仿宋" w:cs="仿宋"/>
          <w:sz w:val="24"/>
          <w:szCs w:val="32"/>
        </w:rPr>
        <w:t>》课程简介</w:t>
      </w:r>
    </w:p>
    <w:p w14:paraId="10D07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本课程以实战为核心，构建“策划-执行-复盘-答辩”完整体系，涵盖项目策划流程与工具、目标设定与调研、渠道预算规划、创意互动设计、风险管理与KPI搭建、项目路演答辩六大模块，助力学习者掌握全链路营销项目策划能力。</w:t>
      </w:r>
    </w:p>
    <w:p w14:paraId="3DAA4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知识目标：掌握策划工具用法、SMART原则、渠道组合逻辑及风险防控要点，明晰营销项目全流程逻辑。</w:t>
      </w:r>
    </w:p>
    <w:p w14:paraId="55A59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能力目标：具备需求洞察、策略拆解、商业思辨及跨场景问题解决能力。</w:t>
      </w:r>
    </w:p>
    <w:p w14:paraId="5897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技能目标：能独立完成完整策划案、搭建KPI体系，熟练路演答辩。课程重商业落地，实现从策划到实战的思维跃迁。</w:t>
      </w:r>
    </w:p>
    <w:p w14:paraId="2A316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  <w:lang w:val="en-US" w:eastAsia="zh-CN"/>
        </w:rPr>
      </w:pPr>
    </w:p>
    <w:p w14:paraId="6A10D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五、师资团队</w:t>
      </w:r>
    </w:p>
    <w:p w14:paraId="0F6AB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1.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数字营销与新媒体运营</w:t>
      </w:r>
      <w:r>
        <w:rPr>
          <w:rFonts w:hint="eastAsia" w:ascii="仿宋" w:hAnsi="仿宋" w:eastAsia="仿宋" w:cs="仿宋"/>
          <w:sz w:val="24"/>
          <w:szCs w:val="32"/>
        </w:rPr>
        <w:t>微专业教学团队</w:t>
      </w:r>
    </w:p>
    <w:p w14:paraId="6DA9D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数字营销与新媒体运营</w:t>
      </w:r>
      <w:r>
        <w:rPr>
          <w:rFonts w:hint="eastAsia" w:ascii="仿宋" w:hAnsi="仿宋" w:eastAsia="仿宋" w:cs="仿宋"/>
          <w:sz w:val="24"/>
          <w:szCs w:val="32"/>
        </w:rPr>
        <w:t>微专业负责人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胡佳佳</w:t>
      </w:r>
    </w:p>
    <w:p w14:paraId="6B2E7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/>
        </w:rPr>
      </w:pPr>
      <w:r>
        <w:rPr>
          <w:rFonts w:hint="eastAsia" w:ascii="仿宋" w:hAnsi="仿宋" w:eastAsia="仿宋" w:cs="仿宋"/>
          <w:sz w:val="24"/>
          <w:szCs w:val="32"/>
        </w:rPr>
        <w:t>校内专任教师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马明茜、柏嫱、陈曼、孙文欣、吴恒宇、徐君</w:t>
      </w:r>
    </w:p>
    <w:p w14:paraId="4B553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</w:rPr>
        <w:t>校外专家团队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周秀海、王苏娟</w:t>
      </w:r>
    </w:p>
    <w:p w14:paraId="20844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32"/>
        </w:rPr>
      </w:pPr>
    </w:p>
    <w:p w14:paraId="7814E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六、学制学分与结业事项</w:t>
      </w:r>
    </w:p>
    <w:p w14:paraId="04D91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学制：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32"/>
        </w:rPr>
        <w:t xml:space="preserve">年                        </w:t>
      </w:r>
    </w:p>
    <w:p w14:paraId="3FC95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学分：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24"/>
          <w:szCs w:val="32"/>
        </w:rPr>
        <w:t>学分</w:t>
      </w:r>
    </w:p>
    <w:p w14:paraId="7A221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结业事项：学生在培养方案规定的学习年限内，完成微专业培养方案规定课程的修读，成绩合格，达到最低毕业要求学分，经学院审核后，报教务处审定，由教务处负责统一颁发“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数字营销与新媒体运营</w:t>
      </w:r>
      <w:r>
        <w:rPr>
          <w:rFonts w:hint="eastAsia" w:ascii="仿宋" w:hAnsi="仿宋" w:eastAsia="仿宋" w:cs="仿宋"/>
          <w:sz w:val="24"/>
          <w:szCs w:val="32"/>
        </w:rPr>
        <w:t>”微专业证书，学生可向学校申请微专业课程成绩单；本微专业不授予学位。</w:t>
      </w:r>
    </w:p>
    <w:p w14:paraId="6BB50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七、报名、选拔方式</w:t>
      </w:r>
    </w:p>
    <w:p w14:paraId="663B8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 报名方式：</w:t>
      </w:r>
    </w:p>
    <w:p w14:paraId="362E7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</w:rPr>
        <w:t>申请修读微专业学生需慎重思考，将以下材料按照顺序扫描为一个PDF，命名为所在微专业申请表_学院_姓名.pdf，于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2月25日</w:t>
      </w:r>
      <w:r>
        <w:rPr>
          <w:rFonts w:hint="eastAsia" w:ascii="仿宋" w:hAnsi="仿宋" w:eastAsia="仿宋" w:cs="仿宋"/>
          <w:sz w:val="24"/>
          <w:szCs w:val="32"/>
        </w:rPr>
        <w:t>之前发送至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经济管理</w:t>
      </w:r>
      <w:r>
        <w:rPr>
          <w:rFonts w:hint="eastAsia" w:ascii="仿宋" w:hAnsi="仿宋" w:eastAsia="仿宋" w:cs="仿宋"/>
          <w:sz w:val="24"/>
          <w:szCs w:val="32"/>
        </w:rPr>
        <w:t>学院邮箱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instrText xml:space="preserve"> HYPERLINK "mailto:10275354@qq.com" </w:instrTex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sz w:val="24"/>
          <w:szCs w:val="32"/>
          <w:lang w:val="en-US" w:eastAsia="zh-CN"/>
        </w:rPr>
        <w:t>10275354@qq.com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</w:t>
      </w:r>
    </w:p>
    <w:p w14:paraId="52270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（1）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数字营销与新媒体</w:t>
      </w:r>
      <w:r>
        <w:rPr>
          <w:rFonts w:hint="eastAsia" w:ascii="仿宋" w:hAnsi="仿宋" w:eastAsia="仿宋" w:cs="仿宋"/>
          <w:sz w:val="24"/>
          <w:szCs w:val="32"/>
        </w:rPr>
        <w:t>微专业申请表；</w:t>
      </w:r>
    </w:p>
    <w:p w14:paraId="3CAC4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（2）相关经历及获奖佐证材料</w:t>
      </w:r>
    </w:p>
    <w:p w14:paraId="0242A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 选拔方式：</w:t>
      </w:r>
      <w:bookmarkStart w:id="0" w:name="_GoBack"/>
      <w:bookmarkEnd w:id="0"/>
    </w:p>
    <w:p w14:paraId="6D88E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在资料审核的基础上进行专家面试；</w:t>
      </w:r>
    </w:p>
    <w:p w14:paraId="2DA41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3. 选拔程序：</w:t>
      </w:r>
    </w:p>
    <w:p w14:paraId="793A7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（1）资料审核；</w:t>
      </w:r>
    </w:p>
    <w:p w14:paraId="35C7C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（2）审核通过后根据报名情况按照1:1.5进入面试遴选；</w:t>
      </w:r>
    </w:p>
    <w:p w14:paraId="510C6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（3）遴选通过后进行名单公示。</w:t>
      </w:r>
    </w:p>
    <w:p w14:paraId="7CF7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学生自愿报名，经各微专业主办学院选拔，确定学生录取名单后报教务处备案。</w:t>
      </w:r>
    </w:p>
    <w:p w14:paraId="790B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八、注意事项</w:t>
      </w:r>
    </w:p>
    <w:p w14:paraId="6ACA5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.学生在申请报名微专业前，应充分评估自身学习情况，充分了解微专业实施管理办法及专业课程设置。每位学生在同一年度只能报名申请修读一个微专业，前一个微专业修读完毕后方可提出下一个微专业修读申请。</w:t>
      </w:r>
    </w:p>
    <w:p w14:paraId="0DBD9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2.微专业修读学分可直接替代主修专业培养方案中“专业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选修</w:t>
      </w:r>
      <w:r>
        <w:rPr>
          <w:rFonts w:hint="eastAsia" w:ascii="仿宋" w:hAnsi="仿宋" w:eastAsia="仿宋" w:cs="仿宋"/>
          <w:sz w:val="24"/>
          <w:szCs w:val="32"/>
        </w:rPr>
        <w:t>课程”学分。</w:t>
      </w:r>
    </w:p>
    <w:p w14:paraId="2D629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九、联系方式</w:t>
      </w:r>
    </w:p>
    <w:p w14:paraId="0F25D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</w:rPr>
        <w:t>联系人：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胡佳佳    10275354@qq.com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A55B6"/>
    <w:rsid w:val="0BDE0CED"/>
    <w:rsid w:val="0BF56037"/>
    <w:rsid w:val="2A4A52DB"/>
    <w:rsid w:val="2D821828"/>
    <w:rsid w:val="3B2C56AC"/>
    <w:rsid w:val="3B4F0C51"/>
    <w:rsid w:val="40E57E4D"/>
    <w:rsid w:val="424566C9"/>
    <w:rsid w:val="48AB153A"/>
    <w:rsid w:val="4AAF6DD6"/>
    <w:rsid w:val="4B733A4D"/>
    <w:rsid w:val="56E54594"/>
    <w:rsid w:val="652F3976"/>
    <w:rsid w:val="6DA94428"/>
    <w:rsid w:val="798C01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2444</Words>
  <Characters>2525</Characters>
  <Lines>0</Lines>
  <Paragraphs>0</Paragraphs>
  <TotalTime>17</TotalTime>
  <ScaleCrop>false</ScaleCrop>
  <LinksUpToDate>false</LinksUpToDate>
  <CharactersWithSpaces>2561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2025-11-18T07:29:00Z</dcterms:created>
  <dc:creator>gaojie</dc:creator>
  <cp:lastModifiedBy>Hjj</cp:lastModifiedBy>
  <cp:lastPrinted>2025-11-18T07:35:00Z</cp:lastPrinted>
  <dcterms:modified xsi:type="dcterms:W3CDTF">2026-01-08T08:34:49Z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eyJoZGlkIjoiOGJmYTA4OTAxNGMyNWQ0ZDNiOGMwMjBkYzkwZTlmNjEiLCJ1c2VySWQiOiI3Mjg1MjM2OTkifQ==</vt:lpwstr>
  </property>
  <property fmtid="{D5CDD505-2E9C-101B-9397-08002B2CF9AE}" pid="4" name="ICV">
    <vt:lpwstr>8D72BE124CD744A7B3D87982B52C3C0B_13</vt:lpwstr>
  </property>
</Properties>
</file>